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49" w:rsidRDefault="00A52349">
      <w:pPr>
        <w:rPr>
          <w:b/>
        </w:rPr>
      </w:pPr>
      <w:bookmarkStart w:id="0" w:name="_GoBack"/>
      <w:bookmarkEnd w:id="0"/>
      <w:r>
        <w:rPr>
          <w:b/>
        </w:rPr>
        <w:t>Solihull MARAC</w:t>
      </w:r>
      <w:r w:rsidR="002C4B24">
        <w:rPr>
          <w:b/>
        </w:rPr>
        <w:t xml:space="preserve"> &amp; response to Domestic Violence</w:t>
      </w:r>
    </w:p>
    <w:p w:rsidR="00B50BFD" w:rsidRDefault="00A52349">
      <w:r w:rsidRPr="00A52349">
        <w:t>As you will be aware, as result o</w:t>
      </w:r>
      <w:r w:rsidR="002C4B24">
        <w:t>f COVID-19 we are seeing a significant</w:t>
      </w:r>
      <w:r w:rsidRPr="00A52349">
        <w:t xml:space="preserve"> increase in domestic abuse nationally, regionally and local</w:t>
      </w:r>
      <w:r w:rsidR="00D568A5">
        <w:t>ly. Solihull’s Domestic Abuse Priority</w:t>
      </w:r>
      <w:r w:rsidRPr="00A52349">
        <w:t xml:space="preserve"> Group </w:t>
      </w:r>
      <w:r w:rsidR="00D568A5">
        <w:t xml:space="preserve">(DAPG) </w:t>
      </w:r>
      <w:r w:rsidRPr="00A52349">
        <w:t>has been reviewing our response to this and has provide</w:t>
      </w:r>
      <w:r w:rsidR="00D568A5">
        <w:t>d</w:t>
      </w:r>
      <w:r w:rsidRPr="00A52349">
        <w:t xml:space="preserve"> additional resource</w:t>
      </w:r>
      <w:r w:rsidR="00D568A5">
        <w:t>s</w:t>
      </w:r>
      <w:r w:rsidRPr="00A52349">
        <w:t xml:space="preserve"> to improve our local capacity to meet this additional need.</w:t>
      </w:r>
      <w:r w:rsidR="00883287" w:rsidRPr="00A52349">
        <w:t xml:space="preserve"> </w:t>
      </w:r>
    </w:p>
    <w:p w:rsidR="00B50BFD" w:rsidRDefault="00A52349">
      <w:r>
        <w:t>The multi-agency risk assessment conferenc</w:t>
      </w:r>
      <w:r w:rsidR="00B50BFD">
        <w:t xml:space="preserve">es (MARAC) are </w:t>
      </w:r>
      <w:proofErr w:type="gramStart"/>
      <w:r w:rsidR="00B50BFD">
        <w:t>key</w:t>
      </w:r>
      <w:proofErr w:type="gramEnd"/>
      <w:r w:rsidR="00B50BFD">
        <w:t xml:space="preserve"> to the</w:t>
      </w:r>
      <w:r>
        <w:t xml:space="preserve"> swift multi-agency resp</w:t>
      </w:r>
      <w:r w:rsidR="00D568A5">
        <w:t>onse to domestic abuse</w:t>
      </w:r>
      <w:r w:rsidR="00B50BFD">
        <w:t xml:space="preserve"> cases. CO</w:t>
      </w:r>
      <w:r w:rsidR="002C4B24">
        <w:t>VID-19 lockdown restrictions have</w:t>
      </w:r>
      <w:r w:rsidR="00B50BFD">
        <w:t xml:space="preserve"> had significant impact on the frequency and severity of domestic abuse, which has already started to increase the numbers requiring a MARAC response to support safeguarding. This increase is expected to continue for the coming months.   We have also had feedback that the length &amp; intensity of these sessions has also been difficult for staff to maintain.</w:t>
      </w:r>
    </w:p>
    <w:p w:rsidR="00124FBB" w:rsidRDefault="00B50BFD" w:rsidP="00B50BFD">
      <w:r>
        <w:t xml:space="preserve">Given the number of cases which need to be reviewed and after consultation with partners, the frequency of MARAC will be increased to fortnightly </w:t>
      </w:r>
      <w:r w:rsidR="008F0F14">
        <w:t>to ensure th</w:t>
      </w:r>
      <w:r>
        <w:t xml:space="preserve">e growing case list is covered. We appreciate that this may place additional pressures on </w:t>
      </w:r>
      <w:proofErr w:type="gramStart"/>
      <w:r>
        <w:t>staff who are</w:t>
      </w:r>
      <w:proofErr w:type="gramEnd"/>
      <w:r>
        <w:t xml:space="preserve"> actively in involved in the MARAC process which you may need to review.</w:t>
      </w:r>
    </w:p>
    <w:p w:rsidR="00883287" w:rsidRDefault="00DE29B8">
      <w:r>
        <w:t>F</w:t>
      </w:r>
      <w:r w:rsidR="00883287">
        <w:t>ortnightly</w:t>
      </w:r>
      <w:r>
        <w:t xml:space="preserve"> meetings will provide short and long term benefits: </w:t>
      </w:r>
    </w:p>
    <w:p w:rsidR="00883287" w:rsidRDefault="00883287" w:rsidP="00656503">
      <w:pPr>
        <w:pStyle w:val="ListParagraph"/>
        <w:numPr>
          <w:ilvl w:val="0"/>
          <w:numId w:val="1"/>
        </w:numPr>
      </w:pPr>
      <w:r>
        <w:t>give us the capacity to deal with the surge, which is evident from data</w:t>
      </w:r>
    </w:p>
    <w:p w:rsidR="00883287" w:rsidRDefault="00883287" w:rsidP="00656503">
      <w:pPr>
        <w:pStyle w:val="ListParagraph"/>
        <w:numPr>
          <w:ilvl w:val="0"/>
          <w:numId w:val="1"/>
        </w:numPr>
      </w:pPr>
      <w:r>
        <w:t xml:space="preserve">provide the flexibility to manage </w:t>
      </w:r>
      <w:r w:rsidR="00656503">
        <w:t xml:space="preserve">increased numbers as part of business as usual </w:t>
      </w:r>
    </w:p>
    <w:p w:rsidR="00883287" w:rsidRDefault="00883287" w:rsidP="00656503">
      <w:pPr>
        <w:pStyle w:val="ListParagraph"/>
        <w:numPr>
          <w:ilvl w:val="0"/>
          <w:numId w:val="1"/>
        </w:numPr>
      </w:pPr>
      <w:r>
        <w:t xml:space="preserve">allow us to deal with high risk cases in a timely </w:t>
      </w:r>
      <w:r w:rsidR="00656503">
        <w:t>manner</w:t>
      </w:r>
    </w:p>
    <w:p w:rsidR="00656503" w:rsidRDefault="00656503" w:rsidP="00656503">
      <w:pPr>
        <w:pStyle w:val="ListParagraph"/>
        <w:numPr>
          <w:ilvl w:val="0"/>
          <w:numId w:val="1"/>
        </w:numPr>
      </w:pPr>
      <w:r>
        <w:t xml:space="preserve">Reduce stress on panel members </w:t>
      </w:r>
    </w:p>
    <w:p w:rsidR="00B50BFD" w:rsidRDefault="00B50BFD">
      <w:r>
        <w:t xml:space="preserve">These </w:t>
      </w:r>
      <w:r w:rsidR="00A132FA">
        <w:t>arrangements</w:t>
      </w:r>
      <w:r>
        <w:t>, which would also bring us into line with other parts of the region,</w:t>
      </w:r>
      <w:r w:rsidR="00D568A5">
        <w:t xml:space="preserve"> will be reviewed</w:t>
      </w:r>
      <w:r w:rsidR="00A132FA">
        <w:t xml:space="preserve"> in November 2020</w:t>
      </w:r>
      <w:r>
        <w:t xml:space="preserve"> </w:t>
      </w:r>
      <w:r w:rsidR="00D568A5">
        <w:t>to understand how they are working for partners.</w:t>
      </w:r>
      <w:r w:rsidR="00C14DDC">
        <w:t xml:space="preserve"> Attached is a </w:t>
      </w:r>
      <w:proofErr w:type="gramStart"/>
      <w:r w:rsidR="00C14DDC">
        <w:t>summary</w:t>
      </w:r>
      <w:proofErr w:type="gramEnd"/>
      <w:r w:rsidR="00C14DDC">
        <w:t xml:space="preserve"> of the agencies and departments who form the core panel membership. </w:t>
      </w:r>
    </w:p>
    <w:p w:rsidR="00D568A5" w:rsidRDefault="00D568A5">
      <w:r>
        <w:t>At the moment there is domestic abuse legislation progressing through parliament, which is expected to result in Domestic</w:t>
      </w:r>
      <w:r w:rsidR="00F35E06">
        <w:t xml:space="preserve"> Abuse legislation in April 2021</w:t>
      </w:r>
      <w:r>
        <w:t xml:space="preserve">. At this point, we do not think MARAC’s will be a direct feature, however they are likely to be included in the statutory reporting template, each area will be required to submit to the DA Commissioner. </w:t>
      </w:r>
    </w:p>
    <w:p w:rsidR="00A132FA" w:rsidRDefault="00B50BFD">
      <w:r>
        <w:t>If you have any queries, please do contact</w:t>
      </w:r>
      <w:r w:rsidR="00A132FA">
        <w:t xml:space="preserve"> </w:t>
      </w:r>
    </w:p>
    <w:p w:rsidR="00A132FA" w:rsidRDefault="00A132FA">
      <w:r>
        <w:t>Caroline Murray – SMBC domestic abuse coordinator (</w:t>
      </w:r>
      <w:hyperlink r:id="rId6" w:history="1">
        <w:r w:rsidRPr="007D7BBF">
          <w:rPr>
            <w:rStyle w:val="Hyperlink"/>
          </w:rPr>
          <w:t>caroline.murray@solihull.gov.uk</w:t>
        </w:r>
      </w:hyperlink>
      <w:r>
        <w:t>)</w:t>
      </w:r>
    </w:p>
    <w:p w:rsidR="00A132FA" w:rsidRDefault="00A132FA">
      <w:pPr>
        <w:rPr>
          <w:rStyle w:val="Hyperlink"/>
          <w:rFonts w:ascii="Arial" w:hAnsi="Arial" w:cs="Arial"/>
          <w:sz w:val="24"/>
          <w:szCs w:val="24"/>
        </w:rPr>
      </w:pPr>
      <w:r>
        <w:t>Sarah Pugh – Coventry &amp; Solihull MARAC co-ordinator (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marac_referrals@west-midlands.pnn.police.uk</w:t>
        </w:r>
      </w:hyperlink>
    </w:p>
    <w:p w:rsidR="00A755F2" w:rsidRDefault="00A755F2">
      <w:pPr>
        <w:rPr>
          <w:rStyle w:val="Hyperlink"/>
          <w:rFonts w:ascii="Arial" w:hAnsi="Arial" w:cs="Arial"/>
          <w:sz w:val="24"/>
          <w:szCs w:val="24"/>
        </w:rPr>
      </w:pPr>
    </w:p>
    <w:p w:rsidR="00A755F2" w:rsidRDefault="00A755F2">
      <w:pPr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A755F2" w:rsidRPr="0050597B" w:rsidTr="00A755F2">
        <w:tc>
          <w:tcPr>
            <w:tcW w:w="4531" w:type="dxa"/>
            <w:shd w:val="clear" w:color="auto" w:fill="D9D9D9" w:themeFill="background1" w:themeFillShade="D9"/>
          </w:tcPr>
          <w:p w:rsidR="00A755F2" w:rsidRPr="0050597B" w:rsidRDefault="00A755F2" w:rsidP="00601874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lastRenderedPageBreak/>
              <w:t xml:space="preserve">Agency/department 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A755F2" w:rsidRPr="0050597B" w:rsidRDefault="00A755F2" w:rsidP="00601874">
            <w:pPr>
              <w:rPr>
                <w:rFonts w:cstheme="minorHAnsi"/>
                <w:b/>
              </w:rPr>
            </w:pPr>
          </w:p>
        </w:tc>
      </w:tr>
      <w:tr w:rsidR="00A755F2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t xml:space="preserve">WMP  - PPU </w:t>
            </w:r>
          </w:p>
        </w:tc>
        <w:tc>
          <w:tcPr>
            <w:tcW w:w="4962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t xml:space="preserve">SCH –Housing Options </w:t>
            </w:r>
          </w:p>
        </w:tc>
      </w:tr>
      <w:tr w:rsidR="00A755F2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t xml:space="preserve">WMP – Offender management </w:t>
            </w:r>
          </w:p>
        </w:tc>
        <w:tc>
          <w:tcPr>
            <w:tcW w:w="4962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t xml:space="preserve">SCH – neighbourhood team </w:t>
            </w:r>
          </w:p>
        </w:tc>
      </w:tr>
      <w:tr w:rsidR="00A755F2" w:rsidRPr="003950B8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</w:p>
        </w:tc>
        <w:tc>
          <w:tcPr>
            <w:tcW w:w="4962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t xml:space="preserve">St Basils </w:t>
            </w:r>
          </w:p>
        </w:tc>
      </w:tr>
      <w:tr w:rsidR="00A755F2" w:rsidRPr="003950B8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t>SMBC – Children Social Care</w:t>
            </w:r>
          </w:p>
        </w:tc>
        <w:tc>
          <w:tcPr>
            <w:tcW w:w="4962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t xml:space="preserve">Bromford Housing </w:t>
            </w:r>
          </w:p>
        </w:tc>
      </w:tr>
      <w:tr w:rsidR="00A755F2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t xml:space="preserve">SMBC – Adult Social Care </w:t>
            </w:r>
          </w:p>
        </w:tc>
        <w:tc>
          <w:tcPr>
            <w:tcW w:w="4962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</w:p>
        </w:tc>
      </w:tr>
      <w:tr w:rsidR="00A755F2" w:rsidRPr="008F03CC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t xml:space="preserve">SMBC – Education safeguarding </w:t>
            </w:r>
          </w:p>
        </w:tc>
        <w:tc>
          <w:tcPr>
            <w:tcW w:w="4962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Rape and Sexual Violence Project </w:t>
            </w:r>
          </w:p>
        </w:tc>
      </w:tr>
      <w:tr w:rsidR="00A755F2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t xml:space="preserve">SMBC – PH </w:t>
            </w:r>
          </w:p>
        </w:tc>
        <w:tc>
          <w:tcPr>
            <w:tcW w:w="4962" w:type="dxa"/>
          </w:tcPr>
          <w:p w:rsidR="00A755F2" w:rsidRDefault="00A755F2" w:rsidP="00A755F2">
            <w:pPr>
              <w:rPr>
                <w:rFonts w:cstheme="minorHAnsi"/>
              </w:rPr>
            </w:pPr>
          </w:p>
        </w:tc>
      </w:tr>
      <w:tr w:rsidR="00A755F2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</w:p>
        </w:tc>
        <w:tc>
          <w:tcPr>
            <w:tcW w:w="4962" w:type="dxa"/>
          </w:tcPr>
          <w:p w:rsidR="00A755F2" w:rsidRPr="00A755F2" w:rsidRDefault="00A755F2" w:rsidP="00A755F2">
            <w:pPr>
              <w:rPr>
                <w:rFonts w:cstheme="minorHAnsi"/>
                <w:b/>
              </w:rPr>
            </w:pPr>
            <w:r w:rsidRPr="00A755F2">
              <w:rPr>
                <w:rFonts w:cstheme="minorHAnsi"/>
                <w:b/>
              </w:rPr>
              <w:t>Birmingham and Solihull Women’s Aid IDVA</w:t>
            </w:r>
          </w:p>
        </w:tc>
      </w:tr>
      <w:tr w:rsidR="00A755F2" w:rsidRPr="0050597B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Community rehabilitation company </w:t>
            </w:r>
          </w:p>
        </w:tc>
        <w:tc>
          <w:tcPr>
            <w:tcW w:w="4962" w:type="dxa"/>
          </w:tcPr>
          <w:p w:rsidR="00A755F2" w:rsidRPr="00A755F2" w:rsidRDefault="00A755F2" w:rsidP="00A755F2">
            <w:pPr>
              <w:rPr>
                <w:rFonts w:cstheme="minorHAnsi"/>
                <w:b/>
              </w:rPr>
            </w:pPr>
          </w:p>
        </w:tc>
      </w:tr>
      <w:tr w:rsidR="00A755F2" w:rsidRPr="0050597B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National Probation service </w:t>
            </w:r>
          </w:p>
        </w:tc>
        <w:tc>
          <w:tcPr>
            <w:tcW w:w="4962" w:type="dxa"/>
          </w:tcPr>
          <w:p w:rsidR="00A755F2" w:rsidRPr="00A755F2" w:rsidRDefault="00A755F2" w:rsidP="00A755F2">
            <w:pPr>
              <w:rPr>
                <w:rFonts w:cstheme="minorHAnsi"/>
                <w:b/>
              </w:rPr>
            </w:pPr>
            <w:r w:rsidRPr="00A755F2">
              <w:rPr>
                <w:rFonts w:cstheme="minorHAnsi"/>
                <w:b/>
              </w:rPr>
              <w:t xml:space="preserve">Safe House male </w:t>
            </w:r>
            <w:proofErr w:type="spellStart"/>
            <w:r w:rsidRPr="00A755F2">
              <w:rPr>
                <w:rFonts w:cstheme="minorHAnsi"/>
                <w:b/>
              </w:rPr>
              <w:t>idva</w:t>
            </w:r>
            <w:proofErr w:type="spellEnd"/>
            <w:r w:rsidRPr="00A755F2">
              <w:rPr>
                <w:rFonts w:cstheme="minorHAnsi"/>
                <w:b/>
              </w:rPr>
              <w:t xml:space="preserve"> </w:t>
            </w:r>
          </w:p>
        </w:tc>
      </w:tr>
      <w:tr w:rsidR="00A755F2" w:rsidRPr="0050597B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</w:p>
        </w:tc>
        <w:tc>
          <w:tcPr>
            <w:tcW w:w="4962" w:type="dxa"/>
          </w:tcPr>
          <w:p w:rsidR="00A755F2" w:rsidRPr="00A755F2" w:rsidRDefault="00A755F2" w:rsidP="00A755F2">
            <w:pPr>
              <w:rPr>
                <w:rFonts w:cstheme="minorHAnsi"/>
                <w:b/>
              </w:rPr>
            </w:pPr>
          </w:p>
        </w:tc>
      </w:tr>
      <w:tr w:rsidR="00A755F2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t>BSMHFT</w:t>
            </w:r>
          </w:p>
        </w:tc>
        <w:tc>
          <w:tcPr>
            <w:tcW w:w="4962" w:type="dxa"/>
          </w:tcPr>
          <w:p w:rsidR="00A755F2" w:rsidRPr="00A755F2" w:rsidRDefault="00A755F2" w:rsidP="00A755F2">
            <w:pPr>
              <w:rPr>
                <w:rFonts w:cstheme="minorHAnsi"/>
                <w:b/>
              </w:rPr>
            </w:pPr>
            <w:r w:rsidRPr="00A755F2">
              <w:rPr>
                <w:rFonts w:cstheme="minorHAnsi"/>
                <w:b/>
              </w:rPr>
              <w:t xml:space="preserve">Black Country Women’s Aid Stalking &amp; harassment advocate </w:t>
            </w:r>
          </w:p>
        </w:tc>
      </w:tr>
      <w:tr w:rsidR="00A755F2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</w:p>
        </w:tc>
        <w:tc>
          <w:tcPr>
            <w:tcW w:w="4962" w:type="dxa"/>
          </w:tcPr>
          <w:p w:rsidR="00A755F2" w:rsidRDefault="00A755F2" w:rsidP="00A755F2">
            <w:pPr>
              <w:rPr>
                <w:rFonts w:cstheme="minorHAnsi"/>
              </w:rPr>
            </w:pPr>
          </w:p>
        </w:tc>
      </w:tr>
      <w:tr w:rsidR="00A755F2" w:rsidRPr="0050597B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HEoFT</w:t>
            </w:r>
            <w:proofErr w:type="spellEnd"/>
          </w:p>
        </w:tc>
        <w:tc>
          <w:tcPr>
            <w:tcW w:w="4962" w:type="dxa"/>
          </w:tcPr>
          <w:p w:rsidR="00A755F2" w:rsidRPr="00C14DDC" w:rsidRDefault="00C14DDC" w:rsidP="00A755F2">
            <w:pPr>
              <w:rPr>
                <w:rFonts w:cstheme="minorHAnsi"/>
                <w:b/>
              </w:rPr>
            </w:pPr>
            <w:r w:rsidRPr="00C14DDC">
              <w:rPr>
                <w:rFonts w:cstheme="minorHAnsi"/>
                <w:b/>
              </w:rPr>
              <w:t xml:space="preserve">Victim Support </w:t>
            </w:r>
          </w:p>
        </w:tc>
      </w:tr>
      <w:tr w:rsidR="00A755F2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</w:p>
        </w:tc>
        <w:tc>
          <w:tcPr>
            <w:tcW w:w="4962" w:type="dxa"/>
          </w:tcPr>
          <w:p w:rsidR="00A755F2" w:rsidRPr="00C14DDC" w:rsidRDefault="00A755F2" w:rsidP="00A755F2">
            <w:pPr>
              <w:rPr>
                <w:rFonts w:cstheme="minorHAnsi"/>
                <w:b/>
              </w:rPr>
            </w:pPr>
          </w:p>
        </w:tc>
      </w:tr>
      <w:tr w:rsidR="00A755F2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BSOL CCG safeguarding </w:t>
            </w:r>
          </w:p>
        </w:tc>
        <w:tc>
          <w:tcPr>
            <w:tcW w:w="4962" w:type="dxa"/>
          </w:tcPr>
          <w:p w:rsidR="00A755F2" w:rsidRPr="00C14DDC" w:rsidRDefault="00C14DDC" w:rsidP="00A755F2">
            <w:pPr>
              <w:rPr>
                <w:rFonts w:cstheme="minorHAnsi"/>
                <w:b/>
              </w:rPr>
            </w:pPr>
            <w:r w:rsidRPr="00C14DDC">
              <w:rPr>
                <w:rFonts w:cstheme="minorHAnsi"/>
                <w:b/>
              </w:rPr>
              <w:t xml:space="preserve">Mytime perpetrator programme </w:t>
            </w:r>
          </w:p>
        </w:tc>
      </w:tr>
      <w:tr w:rsidR="00A755F2" w:rsidRPr="00CA7C27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</w:p>
        </w:tc>
        <w:tc>
          <w:tcPr>
            <w:tcW w:w="4962" w:type="dxa"/>
          </w:tcPr>
          <w:p w:rsidR="00A755F2" w:rsidRPr="00C14DDC" w:rsidRDefault="00A755F2" w:rsidP="00A755F2">
            <w:pPr>
              <w:rPr>
                <w:rFonts w:cstheme="minorHAnsi"/>
                <w:b/>
              </w:rPr>
            </w:pPr>
          </w:p>
        </w:tc>
      </w:tr>
      <w:tr w:rsidR="00A755F2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 w:rsidRPr="0050597B">
              <w:rPr>
                <w:rFonts w:cstheme="minorHAnsi"/>
                <w:b/>
              </w:rPr>
              <w:t>SIAS</w:t>
            </w:r>
          </w:p>
        </w:tc>
        <w:tc>
          <w:tcPr>
            <w:tcW w:w="4962" w:type="dxa"/>
          </w:tcPr>
          <w:p w:rsidR="00A755F2" w:rsidRPr="00C14DDC" w:rsidRDefault="00C14DDC" w:rsidP="00A755F2">
            <w:pPr>
              <w:rPr>
                <w:rFonts w:cstheme="minorHAnsi"/>
                <w:b/>
              </w:rPr>
            </w:pPr>
            <w:r w:rsidRPr="00C14DDC">
              <w:rPr>
                <w:rFonts w:cstheme="minorHAnsi"/>
                <w:b/>
              </w:rPr>
              <w:t xml:space="preserve">Solihull Community Hub </w:t>
            </w:r>
          </w:p>
        </w:tc>
      </w:tr>
      <w:tr w:rsidR="00A755F2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</w:p>
        </w:tc>
        <w:tc>
          <w:tcPr>
            <w:tcW w:w="4962" w:type="dxa"/>
          </w:tcPr>
          <w:p w:rsidR="00A755F2" w:rsidRPr="00C14DDC" w:rsidRDefault="00A755F2" w:rsidP="00A755F2">
            <w:pPr>
              <w:rPr>
                <w:rFonts w:cstheme="minorHAnsi"/>
                <w:b/>
              </w:rPr>
            </w:pPr>
          </w:p>
        </w:tc>
      </w:tr>
      <w:tr w:rsidR="00A755F2" w:rsidTr="00A755F2">
        <w:tc>
          <w:tcPr>
            <w:tcW w:w="4531" w:type="dxa"/>
          </w:tcPr>
          <w:p w:rsidR="00A755F2" w:rsidRPr="0050597B" w:rsidRDefault="00A755F2" w:rsidP="00A75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South Warwickshire </w:t>
            </w:r>
            <w:r w:rsidR="00C14DDC">
              <w:rPr>
                <w:rFonts w:cstheme="minorHAnsi"/>
                <w:b/>
              </w:rPr>
              <w:t>Foundation</w:t>
            </w:r>
            <w:r>
              <w:rPr>
                <w:rFonts w:cstheme="minorHAnsi"/>
                <w:b/>
              </w:rPr>
              <w:t xml:space="preserve"> Trust safeguarding </w:t>
            </w:r>
          </w:p>
        </w:tc>
        <w:tc>
          <w:tcPr>
            <w:tcW w:w="4962" w:type="dxa"/>
          </w:tcPr>
          <w:p w:rsidR="00A755F2" w:rsidRDefault="00A755F2" w:rsidP="00A755F2">
            <w:pPr>
              <w:rPr>
                <w:rFonts w:cstheme="minorHAnsi"/>
              </w:rPr>
            </w:pPr>
          </w:p>
        </w:tc>
      </w:tr>
    </w:tbl>
    <w:p w:rsidR="00A755F2" w:rsidRDefault="00A755F2"/>
    <w:sectPr w:rsidR="00A75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CB0"/>
    <w:multiLevelType w:val="hybridMultilevel"/>
    <w:tmpl w:val="1488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14"/>
    <w:rsid w:val="00124FBB"/>
    <w:rsid w:val="002540BF"/>
    <w:rsid w:val="002C4B24"/>
    <w:rsid w:val="005B4F60"/>
    <w:rsid w:val="00656503"/>
    <w:rsid w:val="007C2ECC"/>
    <w:rsid w:val="00883287"/>
    <w:rsid w:val="008F0F14"/>
    <w:rsid w:val="00A132FA"/>
    <w:rsid w:val="00A52349"/>
    <w:rsid w:val="00A755F2"/>
    <w:rsid w:val="00B50BFD"/>
    <w:rsid w:val="00C14DDC"/>
    <w:rsid w:val="00D568A5"/>
    <w:rsid w:val="00D84CA8"/>
    <w:rsid w:val="00DC13E2"/>
    <w:rsid w:val="00DE29B8"/>
    <w:rsid w:val="00F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2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5F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2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5F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ac_referrals@west-midlands.pnn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murray@solihull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Caroline (Public Health Services - Solihull MBC)</dc:creator>
  <cp:lastModifiedBy>dlewis</cp:lastModifiedBy>
  <cp:revision>2</cp:revision>
  <dcterms:created xsi:type="dcterms:W3CDTF">2020-07-10T10:21:00Z</dcterms:created>
  <dcterms:modified xsi:type="dcterms:W3CDTF">2020-07-10T10:21:00Z</dcterms:modified>
</cp:coreProperties>
</file>